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A5294">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BA5294">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BA5294">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140680"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B00C9E"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B00C9E" w:rsidRPr="004E1C3F" w:rsidRDefault="00B00C9E" w:rsidP="00B00C9E">
            <w:r>
              <w:t>Яппарова Резида Дамировна</w:t>
            </w:r>
            <w:r w:rsidRPr="00523AF3">
              <w:t xml:space="preserve"> </w:t>
            </w:r>
          </w:p>
          <w:p w:rsidR="0014229A" w:rsidRPr="00754514" w:rsidRDefault="00B00C9E" w:rsidP="00B00C9E">
            <w:pPr>
              <w:pStyle w:val="Default"/>
            </w:pPr>
            <w:r w:rsidRPr="004E1C3F">
              <w:t>Тел</w:t>
            </w:r>
            <w:r w:rsidRPr="00754514">
              <w:t xml:space="preserve">. </w:t>
            </w:r>
            <w:r w:rsidRPr="00754514">
              <w:rPr>
                <w:bCs/>
              </w:rPr>
              <w:t>+ 7 (347) 221-56-62</w:t>
            </w:r>
            <w:r w:rsidRPr="00754514">
              <w:t xml:space="preserve">; </w:t>
            </w:r>
            <w:r w:rsidRPr="004E1C3F">
              <w:rPr>
                <w:bCs/>
                <w:lang w:val="en-US"/>
              </w:rPr>
              <w:t>e</w:t>
            </w:r>
            <w:r w:rsidRPr="00754514">
              <w:rPr>
                <w:bCs/>
              </w:rPr>
              <w:t>-</w:t>
            </w:r>
            <w:r w:rsidRPr="004E1C3F">
              <w:rPr>
                <w:bCs/>
                <w:lang w:val="en-US"/>
              </w:rPr>
              <w:t>mail</w:t>
            </w:r>
            <w:r w:rsidRPr="00754514">
              <w:rPr>
                <w:bCs/>
              </w:rPr>
              <w:t>:</w:t>
            </w:r>
            <w:r w:rsidRPr="00754514">
              <w:rPr>
                <w:rFonts w:eastAsia="Times New Roman"/>
                <w:color w:val="777777"/>
                <w:lang w:eastAsia="ru-RU"/>
              </w:rPr>
              <w:t xml:space="preserve"> </w:t>
            </w:r>
            <w:hyperlink r:id="rId18" w:history="1">
              <w:r w:rsidRPr="004E1C3F">
                <w:rPr>
                  <w:rStyle w:val="a3"/>
                  <w:lang w:val="en-US"/>
                </w:rPr>
                <w:t>r</w:t>
              </w:r>
              <w:r w:rsidRPr="00754514">
                <w:rPr>
                  <w:rStyle w:val="a3"/>
                </w:rPr>
                <w:t>.</w:t>
              </w:r>
              <w:r w:rsidRPr="004E1C3F">
                <w:rPr>
                  <w:rStyle w:val="a3"/>
                  <w:lang w:val="en-US"/>
                </w:rPr>
                <w:t>yapparova</w:t>
              </w:r>
              <w:r w:rsidRPr="00754514">
                <w:rPr>
                  <w:rStyle w:val="a3"/>
                </w:rPr>
                <w:t>@</w:t>
              </w:r>
              <w:r w:rsidRPr="004E1C3F">
                <w:rPr>
                  <w:rStyle w:val="a3"/>
                  <w:lang w:val="en-US"/>
                </w:rPr>
                <w:t>bashtel</w:t>
              </w:r>
              <w:r w:rsidRPr="00754514">
                <w:rPr>
                  <w:rStyle w:val="a3"/>
                </w:rPr>
                <w:t>.</w:t>
              </w:r>
              <w:proofErr w:type="spellStart"/>
              <w:r w:rsidRPr="004E1C3F">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54514"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B00C9E" w:rsidRDefault="00B00C9E" w:rsidP="000F4823">
            <w:pPr>
              <w:pStyle w:val="Default"/>
              <w:jc w:val="both"/>
              <w:rPr>
                <w:bCs/>
              </w:rPr>
            </w:pPr>
            <w:r w:rsidRPr="00B00C9E">
              <w:rPr>
                <w:bCs/>
              </w:rPr>
              <w:t>Требования не установлены</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B00C9E" w:rsidRDefault="00B00C9E" w:rsidP="00B00C9E">
            <w:pPr>
              <w:jc w:val="both"/>
            </w:pPr>
            <w:r w:rsidRPr="00B00C9E">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754514">
            <w:r>
              <w:t>«</w:t>
            </w:r>
            <w:r w:rsidR="00314D52">
              <w:t>0</w:t>
            </w:r>
            <w:r w:rsidR="00754514">
              <w:t>4</w:t>
            </w:r>
            <w:r w:rsidR="0014229A" w:rsidRPr="005C24A0">
              <w:t>»</w:t>
            </w:r>
            <w:r w:rsidR="000F4823">
              <w:rPr>
                <w:lang w:val="en-US"/>
              </w:rPr>
              <w:t xml:space="preserve"> </w:t>
            </w:r>
            <w:r w:rsidR="00314D52">
              <w:t>февраля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314D52">
              <w:t>0</w:t>
            </w:r>
            <w:r w:rsidR="00754514">
              <w:t>4</w:t>
            </w:r>
            <w:r w:rsidR="007C6F21" w:rsidRPr="005C24A0">
              <w:t>»</w:t>
            </w:r>
            <w:r w:rsidR="007C6F21" w:rsidRPr="007C6F21">
              <w:t xml:space="preserve"> </w:t>
            </w:r>
            <w:r w:rsidR="00314D52">
              <w:t>февраля</w:t>
            </w:r>
            <w:r w:rsidR="007C6F21">
              <w:t xml:space="preserve"> 2016</w:t>
            </w:r>
            <w:r w:rsidR="007C6F21" w:rsidRPr="005C24A0">
              <w:t xml:space="preserve"> </w:t>
            </w:r>
            <w:r w:rsidR="007C17D3">
              <w:t xml:space="preserve">  </w:t>
            </w:r>
            <w:r w:rsidR="007C17D3">
              <w:lastRenderedPageBreak/>
              <w:t>года в 1</w:t>
            </w:r>
            <w:r w:rsidR="00754514">
              <w:t>0</w:t>
            </w:r>
            <w:bookmarkStart w:id="11" w:name="_GoBack"/>
            <w:bookmarkEnd w:id="11"/>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B00C9E">
            <w:r>
              <w:t>«</w:t>
            </w:r>
            <w:r w:rsidR="00314D52">
              <w:t>2</w:t>
            </w:r>
            <w:r w:rsidR="00B00C9E">
              <w:t>4</w:t>
            </w:r>
            <w:r w:rsidR="000F4823" w:rsidRPr="000F4823">
              <w:t xml:space="preserve">» </w:t>
            </w:r>
            <w:r w:rsidR="00B266B1">
              <w:t>февраля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B00C9E">
            <w:pPr>
              <w:rPr>
                <w:highlight w:val="lightGray"/>
              </w:rPr>
            </w:pPr>
            <w:r>
              <w:rPr>
                <w:iCs/>
              </w:rPr>
              <w:t>«</w:t>
            </w:r>
            <w:r w:rsidR="00314D52">
              <w:rPr>
                <w:iCs/>
              </w:rPr>
              <w:t>2</w:t>
            </w:r>
            <w:r w:rsidR="00B00C9E">
              <w:rPr>
                <w:iCs/>
              </w:rPr>
              <w:t>4</w:t>
            </w:r>
            <w:r w:rsidR="000F4823" w:rsidRPr="000F4823">
              <w:rPr>
                <w:iCs/>
              </w:rPr>
              <w:t xml:space="preserve">» </w:t>
            </w:r>
            <w:r w:rsidR="00B266B1" w:rsidRPr="00B266B1">
              <w:rPr>
                <w:rFonts w:eastAsia="Calibri"/>
                <w:iCs/>
                <w:color w:val="000000"/>
              </w:rPr>
              <w:t>февраля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B266B1">
              <w:t>2</w:t>
            </w:r>
            <w:r w:rsidR="00B00C9E">
              <w:t>6</w:t>
            </w:r>
            <w:r w:rsidRPr="000F4823">
              <w:t xml:space="preserve">» </w:t>
            </w:r>
            <w:r w:rsidR="00B266B1">
              <w:t>февраля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B266B1">
              <w:t>2</w:t>
            </w:r>
            <w:r w:rsidR="00B00C9E">
              <w:t>6</w:t>
            </w:r>
            <w:r w:rsidRPr="000F4823">
              <w:t xml:space="preserve">» </w:t>
            </w:r>
            <w:r w:rsidR="00B266B1">
              <w:t>февраля</w:t>
            </w:r>
            <w:r w:rsidR="0058706C">
              <w:rPr>
                <w:rFonts w:eastAsia="Calibri"/>
                <w:iCs/>
                <w:color w:val="000000"/>
              </w:rPr>
              <w:t xml:space="preserve"> 2016 года</w:t>
            </w:r>
            <w:r w:rsidRPr="000F4823">
              <w:t xml:space="preserve"> в 1</w:t>
            </w:r>
            <w:r w:rsidR="00B00C9E">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314D52">
              <w:t>0</w:t>
            </w:r>
            <w:r w:rsidR="00B00C9E">
              <w:t>9</w:t>
            </w:r>
            <w:r w:rsidRPr="000F4823">
              <w:t xml:space="preserve">» </w:t>
            </w:r>
            <w:r w:rsidR="00314D52">
              <w:t>марта</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4064D" w:rsidRPr="00972152" w:rsidRDefault="00F4064D" w:rsidP="00F4064D">
            <w:r w:rsidRPr="00972152">
              <w:rPr>
                <w:b/>
              </w:rPr>
              <w:t xml:space="preserve">Поставка </w:t>
            </w:r>
            <w:r>
              <w:rPr>
                <w:b/>
              </w:rPr>
              <w:t>опор пропитанных 8,0 м</w:t>
            </w:r>
            <w:r w:rsidRPr="00972152">
              <w:rPr>
                <w:b/>
              </w:rPr>
              <w:t>.</w:t>
            </w:r>
            <w:r w:rsidRPr="00972152">
              <w:t xml:space="preserve"> </w:t>
            </w:r>
          </w:p>
          <w:p w:rsidR="0014229A" w:rsidRPr="00227C39" w:rsidRDefault="00F4064D" w:rsidP="00B00C9E">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.1, 1.2</w:t>
            </w:r>
            <w:r w:rsidR="00B00C9E">
              <w:rPr>
                <w:rFonts w:eastAsia="Times New Roman"/>
                <w:lang w:eastAsia="ru-RU"/>
              </w:rPr>
              <w:t>, 1.3</w:t>
            </w:r>
            <w:r>
              <w:rPr>
                <w:rFonts w:eastAsia="Times New Roman"/>
                <w:lang w:eastAsia="ru-RU"/>
              </w:rPr>
              <w:t xml:space="preserve">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Техническими требованиями</w:t>
            </w:r>
            <w:r w:rsidRPr="00972152">
              <w:rPr>
                <w:rFonts w:eastAsia="Times New Roman"/>
                <w:lang w:eastAsia="ru-RU"/>
              </w:rPr>
              <w:t xml:space="preserve"> (Приложение №</w:t>
            </w:r>
            <w:r>
              <w:rPr>
                <w:rFonts w:eastAsia="Times New Roman"/>
                <w:lang w:eastAsia="ru-RU"/>
              </w:rPr>
              <w:t>1.</w:t>
            </w:r>
            <w:r w:rsidR="00B00C9E">
              <w:rPr>
                <w:rFonts w:eastAsia="Times New Roman"/>
                <w:lang w:eastAsia="ru-RU"/>
              </w:rPr>
              <w:t>4</w:t>
            </w:r>
            <w:r w:rsidRPr="00972152">
              <w:rPr>
                <w:rFonts w:eastAsia="Times New Roman"/>
                <w:lang w:eastAsia="ru-RU"/>
              </w:rPr>
              <w:t xml:space="preserve"> </w:t>
            </w:r>
            <w:r w:rsidRPr="00FC20A7">
              <w:rPr>
                <w:rFonts w:eastAsia="Times New Roman"/>
                <w:lang w:eastAsia="ru-RU"/>
              </w:rPr>
              <w:t>к 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F4064D">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F4064D">
              <w:t>, Техническими требованиями</w:t>
            </w:r>
            <w:r w:rsidR="00F4064D" w:rsidRPr="00972152">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314D52">
              <w:t>.1, 1.2</w:t>
            </w:r>
            <w:r w:rsidR="0058706C">
              <w:t xml:space="preserve">, </w:t>
            </w:r>
            <w:r w:rsidR="00F4064D">
              <w:t>1.3,</w:t>
            </w:r>
            <w:r w:rsidR="00B00C9E">
              <w:t xml:space="preserve"> 1.4,</w:t>
            </w:r>
            <w:r w:rsidR="00F4064D">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F5953" w:rsidRDefault="002F5953" w:rsidP="002F5953">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43 518 998,37 (Сорок три миллиона пятьсот восемнадцать  тысяч девятьсот девяносто восемь) рублей  37 коп</w:t>
            </w:r>
            <w:proofErr w:type="gramStart"/>
            <w:r>
              <w:rPr>
                <w:iCs/>
              </w:rPr>
              <w:t xml:space="preserve">., </w:t>
            </w:r>
            <w:proofErr w:type="gramEnd"/>
            <w:r>
              <w:rPr>
                <w:iCs/>
              </w:rPr>
              <w:t>с учетом НДС, в</w:t>
            </w:r>
            <w:r w:rsidRPr="00AA5094">
              <w:rPr>
                <w:iCs/>
              </w:rPr>
              <w:t xml:space="preserve"> том числе сумма НДС (18%) </w:t>
            </w:r>
            <w:r>
              <w:rPr>
                <w:iCs/>
              </w:rPr>
              <w:t>6 638 491,28</w:t>
            </w:r>
            <w:r w:rsidRPr="00AA5094">
              <w:rPr>
                <w:iCs/>
              </w:rPr>
              <w:t xml:space="preserve"> рубл</w:t>
            </w:r>
            <w:r>
              <w:rPr>
                <w:iCs/>
              </w:rPr>
              <w:t>ей</w:t>
            </w:r>
            <w:r w:rsidRPr="00AA5094">
              <w:rPr>
                <w:iCs/>
              </w:rPr>
              <w:t xml:space="preserve">. </w:t>
            </w:r>
          </w:p>
          <w:p w:rsidR="002F5953" w:rsidRPr="00AA5094" w:rsidRDefault="002F5953" w:rsidP="002F5953">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36 880 507,09 рублей.</w:t>
            </w:r>
          </w:p>
          <w:p w:rsidR="002F5953" w:rsidRPr="00AA5094" w:rsidRDefault="002F5953" w:rsidP="002F5953">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2F5953" w:rsidP="002F5953">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№1.1, 1.2, 1.3 </w:t>
            </w:r>
            <w:r w:rsidRPr="00AA5094">
              <w:rPr>
                <w:iCs/>
              </w:rPr>
              <w:t xml:space="preserve">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w:t>
                  </w:r>
                  <w:r w:rsidR="0014229A" w:rsidRPr="00561F9A">
                    <w:rPr>
                      <w:rFonts w:cs="Arial"/>
                      <w:color w:val="000000"/>
                    </w:rPr>
                    <w:lastRenderedPageBreak/>
                    <w:t xml:space="preserve">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w:t>
                  </w:r>
                  <w:r w:rsidRPr="00F84878">
                    <w:rPr>
                      <w:color w:val="000000"/>
                    </w:rPr>
                    <w:lastRenderedPageBreak/>
                    <w:t>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w:t>
                  </w:r>
                  <w:r w:rsidR="0014229A" w:rsidRPr="00F84878">
                    <w:rPr>
                      <w:rFonts w:eastAsia="Calibri" w:cs="Arial"/>
                      <w:color w:val="000000"/>
                    </w:rPr>
                    <w:lastRenderedPageBreak/>
                    <w:t>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w:t>
            </w:r>
            <w:r w:rsidRPr="00523723">
              <w:lastRenderedPageBreak/>
              <w:t xml:space="preserve">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14D52" w:rsidRPr="00972152" w:rsidRDefault="00314D52" w:rsidP="00314D52">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(Приложения №1.1., 1,2</w:t>
            </w:r>
            <w:r w:rsidR="002F5953">
              <w:t>, 1.3</w:t>
            </w:r>
            <w:r>
              <w:t xml:space="preserve"> к Документации о закупке)</w:t>
            </w:r>
            <w:r w:rsidRPr="00F04218">
              <w:t>.</w:t>
            </w:r>
          </w:p>
          <w:p w:rsidR="00314D52" w:rsidRPr="00972152" w:rsidRDefault="00314D52" w:rsidP="00314D52">
            <w:pPr>
              <w:autoSpaceDE w:val="0"/>
              <w:autoSpaceDN w:val="0"/>
              <w:adjustRightInd w:val="0"/>
              <w:jc w:val="both"/>
            </w:pPr>
            <w:r w:rsidRPr="00972152">
              <w:t xml:space="preserve">Условия поставки товара определены в Приложениях №№ </w:t>
            </w:r>
            <w:r>
              <w:t>1.1, 1.2,</w:t>
            </w:r>
            <w:r w:rsidR="002F5953">
              <w:t xml:space="preserve"> 1,3,</w:t>
            </w:r>
            <w:r w:rsidRPr="00972152">
              <w:t xml:space="preserve"> 2 </w:t>
            </w:r>
            <w:r w:rsidRPr="00FC20A7">
              <w:t>к Документации о закупке</w:t>
            </w:r>
            <w:r w:rsidRPr="00972152">
              <w:t>.</w:t>
            </w:r>
          </w:p>
          <w:p w:rsidR="0014229A" w:rsidRPr="00F84878" w:rsidRDefault="00314D52" w:rsidP="00314D52">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график поставки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w:t>
            </w:r>
            <w:r>
              <w:t>Приложения №1.1., 1,2</w:t>
            </w:r>
            <w:r w:rsidR="002F5953">
              <w:t>, 1.3</w:t>
            </w:r>
            <w:r>
              <w:t xml:space="preserve"> 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BA5294">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lastRenderedPageBreak/>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BA5294">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№1</w:t>
            </w:r>
            <w:r w:rsidR="00314D52">
              <w:t>.1, 1.2</w:t>
            </w:r>
            <w:r w:rsidR="00DB5D19">
              <w:t>, 1.3</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BA5294">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BA5294">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BA5294">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D56CA3" w:rsidP="00761639">
            <w:pPr>
              <w:ind w:firstLine="488"/>
              <w:jc w:val="both"/>
            </w:pPr>
            <w:r>
              <w:t>7</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w:t>
            </w:r>
            <w:r w:rsidRPr="007D2576">
              <w:lastRenderedPageBreak/>
              <w:t xml:space="preserve">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w:t>
            </w:r>
            <w:r w:rsidRPr="005E5897">
              <w:lastRenderedPageBreak/>
              <w:t xml:space="preserve">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Заявки, должны быть поданы от имени Претендента, а также быть </w:t>
            </w:r>
            <w:r w:rsidRPr="007B5597">
              <w:rPr>
                <w:bCs/>
              </w:rPr>
              <w:lastRenderedPageBreak/>
              <w:t>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BA5294">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BA5294">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lastRenderedPageBreak/>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w:t>
      </w:r>
      <w:r w:rsidR="00E32EFF">
        <w:t>я</w:t>
      </w:r>
      <w:r w:rsidR="005C6DCB" w:rsidRPr="00B21CC5">
        <w:t xml:space="preserve"> № </w:t>
      </w:r>
      <w:r w:rsidR="00F73A3E">
        <w:t>1</w:t>
      </w:r>
      <w:r w:rsidR="00314D52">
        <w:t>.1, 1.2</w:t>
      </w:r>
      <w:r w:rsidR="00DB5D19">
        <w:t>, 1.3</w:t>
      </w:r>
      <w:r w:rsidR="005C6DCB" w:rsidRPr="00B21CC5">
        <w:t xml:space="preserve"> </w:t>
      </w:r>
      <w:r w:rsidR="00F11C24">
        <w:t>к настоящей Документации о закупке</w:t>
      </w:r>
      <w:r w:rsidR="005C6DCB" w:rsidRPr="00B21CC5">
        <w:t xml:space="preserve">), </w:t>
      </w:r>
      <w:r w:rsidR="003F58A5">
        <w:t>Технические требования</w:t>
      </w:r>
      <w:r w:rsidR="003F58A5" w:rsidRPr="00972152">
        <w:t xml:space="preserve"> (Приложение №</w:t>
      </w:r>
      <w:r w:rsidR="003F58A5">
        <w:t>1.</w:t>
      </w:r>
      <w:r w:rsidR="00DB5D19">
        <w:t>4</w:t>
      </w:r>
      <w:r w:rsidR="003F58A5" w:rsidRPr="00972152">
        <w:t xml:space="preserve"> </w:t>
      </w:r>
      <w:r w:rsidR="003F58A5" w:rsidRPr="00FC20A7">
        <w:t>к Документации о закупке</w:t>
      </w:r>
      <w:proofErr w:type="gramStart"/>
      <w:r w:rsidR="003F58A5" w:rsidRPr="00972152">
        <w:t>)</w:t>
      </w:r>
      <w:r w:rsidR="005C6DCB" w:rsidRPr="00B21CC5">
        <w:t>п</w:t>
      </w:r>
      <w:proofErr w:type="gramEnd"/>
      <w:r w:rsidR="005C6DCB" w:rsidRPr="00B21CC5">
        <w:t xml:space="preserve">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DB5D19">
        <w:t>.</w:t>
      </w:r>
    </w:p>
    <w:p w:rsidR="00D56CA3" w:rsidRDefault="00D56CA3" w:rsidP="005C6DCB">
      <w:pPr>
        <w:pStyle w:val="1"/>
        <w:keepLines w:val="0"/>
        <w:tabs>
          <w:tab w:val="left" w:pos="6424"/>
        </w:tabs>
        <w:spacing w:before="0" w:after="120"/>
        <w:jc w:val="both"/>
        <w:rPr>
          <w:rFonts w:eastAsia="MS Mincho"/>
          <w:lang w:eastAsia="x-none"/>
        </w:rPr>
      </w:pPr>
      <w:bookmarkStart w:id="42" w:name="_РАЗДЕЛ_III._ФОРМЫ"/>
      <w:bookmarkEnd w:id="42"/>
    </w:p>
    <w:p w:rsidR="0014229A" w:rsidRDefault="005C6DCB" w:rsidP="005C6DCB">
      <w:pPr>
        <w:pStyle w:val="1"/>
        <w:keepLines w:val="0"/>
        <w:tabs>
          <w:tab w:val="left" w:pos="6424"/>
        </w:tabs>
        <w:spacing w:before="0" w:after="120"/>
        <w:jc w:val="both"/>
        <w:rPr>
          <w:rFonts w:eastAsia="MS Mincho"/>
          <w:lang w:eastAsia="x-none"/>
        </w:rPr>
      </w:pPr>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680" w:rsidRDefault="00140680" w:rsidP="0014229A">
      <w:r>
        <w:separator/>
      </w:r>
    </w:p>
  </w:endnote>
  <w:endnote w:type="continuationSeparator" w:id="0">
    <w:p w:rsidR="00140680" w:rsidRDefault="00140680"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680" w:rsidRDefault="00140680" w:rsidP="0014229A">
      <w:r>
        <w:separator/>
      </w:r>
    </w:p>
  </w:footnote>
  <w:footnote w:type="continuationSeparator" w:id="0">
    <w:p w:rsidR="00140680" w:rsidRDefault="00140680"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754514">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4527"/>
    <w:rsid w:val="00055701"/>
    <w:rsid w:val="00093E9C"/>
    <w:rsid w:val="000A4ECA"/>
    <w:rsid w:val="000D6510"/>
    <w:rsid w:val="000F4823"/>
    <w:rsid w:val="000F7BA5"/>
    <w:rsid w:val="00140680"/>
    <w:rsid w:val="0014229A"/>
    <w:rsid w:val="00155152"/>
    <w:rsid w:val="001B4383"/>
    <w:rsid w:val="001D7DA3"/>
    <w:rsid w:val="0026485E"/>
    <w:rsid w:val="00275958"/>
    <w:rsid w:val="0027614A"/>
    <w:rsid w:val="00284A33"/>
    <w:rsid w:val="002F5953"/>
    <w:rsid w:val="00314D52"/>
    <w:rsid w:val="0032055F"/>
    <w:rsid w:val="0033356E"/>
    <w:rsid w:val="00355EFE"/>
    <w:rsid w:val="00373528"/>
    <w:rsid w:val="00393AC3"/>
    <w:rsid w:val="003B25CB"/>
    <w:rsid w:val="003B6396"/>
    <w:rsid w:val="003C5771"/>
    <w:rsid w:val="003E2E6B"/>
    <w:rsid w:val="003E3508"/>
    <w:rsid w:val="003E406F"/>
    <w:rsid w:val="003F58A5"/>
    <w:rsid w:val="00401F71"/>
    <w:rsid w:val="00411612"/>
    <w:rsid w:val="0043434A"/>
    <w:rsid w:val="004C05AA"/>
    <w:rsid w:val="005717E2"/>
    <w:rsid w:val="00574643"/>
    <w:rsid w:val="005770DA"/>
    <w:rsid w:val="00580C36"/>
    <w:rsid w:val="0058706C"/>
    <w:rsid w:val="00591BD4"/>
    <w:rsid w:val="005A0857"/>
    <w:rsid w:val="005A12D2"/>
    <w:rsid w:val="005B0AB9"/>
    <w:rsid w:val="005C6DCB"/>
    <w:rsid w:val="005E779F"/>
    <w:rsid w:val="005F3145"/>
    <w:rsid w:val="006023C7"/>
    <w:rsid w:val="00634F92"/>
    <w:rsid w:val="006351F8"/>
    <w:rsid w:val="00660B32"/>
    <w:rsid w:val="00712F06"/>
    <w:rsid w:val="00754514"/>
    <w:rsid w:val="00761639"/>
    <w:rsid w:val="007816DF"/>
    <w:rsid w:val="00797098"/>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F2EB6"/>
    <w:rsid w:val="00945B7A"/>
    <w:rsid w:val="009A662F"/>
    <w:rsid w:val="009F777B"/>
    <w:rsid w:val="00A02B2E"/>
    <w:rsid w:val="00A0524C"/>
    <w:rsid w:val="00A27D60"/>
    <w:rsid w:val="00A362A1"/>
    <w:rsid w:val="00A667E3"/>
    <w:rsid w:val="00A91F15"/>
    <w:rsid w:val="00AB0FBA"/>
    <w:rsid w:val="00AC38A7"/>
    <w:rsid w:val="00B00C9E"/>
    <w:rsid w:val="00B21CC5"/>
    <w:rsid w:val="00B266B1"/>
    <w:rsid w:val="00BA140C"/>
    <w:rsid w:val="00BA27B3"/>
    <w:rsid w:val="00BA5294"/>
    <w:rsid w:val="00BB560C"/>
    <w:rsid w:val="00C327CC"/>
    <w:rsid w:val="00C32B40"/>
    <w:rsid w:val="00C675FE"/>
    <w:rsid w:val="00C72445"/>
    <w:rsid w:val="00C77202"/>
    <w:rsid w:val="00C94225"/>
    <w:rsid w:val="00CB6832"/>
    <w:rsid w:val="00D37E5A"/>
    <w:rsid w:val="00D4565D"/>
    <w:rsid w:val="00D56CA3"/>
    <w:rsid w:val="00D94587"/>
    <w:rsid w:val="00DB5D19"/>
    <w:rsid w:val="00DC2D28"/>
    <w:rsid w:val="00DD7F60"/>
    <w:rsid w:val="00DF5A81"/>
    <w:rsid w:val="00E25078"/>
    <w:rsid w:val="00E32EFF"/>
    <w:rsid w:val="00E74D2C"/>
    <w:rsid w:val="00E9498C"/>
    <w:rsid w:val="00EA1830"/>
    <w:rsid w:val="00EB346C"/>
    <w:rsid w:val="00EC79E6"/>
    <w:rsid w:val="00ED7BA7"/>
    <w:rsid w:val="00EF33D2"/>
    <w:rsid w:val="00F11C24"/>
    <w:rsid w:val="00F135C3"/>
    <w:rsid w:val="00F13CAC"/>
    <w:rsid w:val="00F17D4A"/>
    <w:rsid w:val="00F34D70"/>
    <w:rsid w:val="00F4064D"/>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r.yapparova@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38F680-879D-4712-BEDD-1FD077923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20</Pages>
  <Words>7724</Words>
  <Characters>44027</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43</cp:revision>
  <cp:lastPrinted>2016-02-02T09:31:00Z</cp:lastPrinted>
  <dcterms:created xsi:type="dcterms:W3CDTF">2015-10-07T04:10:00Z</dcterms:created>
  <dcterms:modified xsi:type="dcterms:W3CDTF">2016-02-04T04:25:00Z</dcterms:modified>
</cp:coreProperties>
</file>